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0ECCDAE" w:rsidR="00C86989" w:rsidRDefault="00AA58C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0589F414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AA58C1">
        <w:rPr>
          <w:rFonts w:asciiTheme="minorHAnsi" w:hAnsiTheme="minorHAnsi" w:cs="Calibri"/>
          <w:b/>
          <w:bCs/>
          <w:iCs/>
        </w:rPr>
        <w:t>A</w:t>
      </w:r>
      <w:r w:rsidR="00364724" w:rsidRPr="00AA58C1">
        <w:rPr>
          <w:rFonts w:asciiTheme="minorHAnsi" w:hAnsiTheme="minorHAnsi" w:cs="Calibri"/>
          <w:b/>
          <w:bCs/>
          <w:iCs/>
        </w:rPr>
        <w:t xml:space="preserve">ustralian </w:t>
      </w:r>
      <w:r w:rsidR="007A4148" w:rsidRPr="00AA58C1">
        <w:rPr>
          <w:rFonts w:asciiTheme="minorHAnsi" w:hAnsiTheme="minorHAnsi" w:cs="Calibri"/>
          <w:b/>
          <w:bCs/>
          <w:iCs/>
        </w:rPr>
        <w:t>Securities and Investments Commission Act 2001</w:t>
      </w:r>
      <w:r w:rsidR="00364724" w:rsidRPr="00AA58C1">
        <w:rPr>
          <w:rFonts w:asciiTheme="minorHAnsi" w:hAnsiTheme="minorHAnsi" w:cs="Calibri"/>
          <w:b/>
          <w:bCs/>
          <w:iCs/>
        </w:rPr>
        <w:t xml:space="preserve"> </w:t>
      </w:r>
      <w:r w:rsidRPr="00AA58C1">
        <w:rPr>
          <w:rFonts w:asciiTheme="minorHAnsi" w:hAnsiTheme="minorHAnsi" w:cs="Calibri"/>
          <w:b/>
          <w:bCs/>
          <w:iCs/>
        </w:rPr>
        <w:t>(Cth</w:t>
      </w:r>
      <w:r w:rsidRPr="0055392B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6660D92" w:rsidR="00255120" w:rsidRPr="00255120" w:rsidRDefault="007E6175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0B1A9980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EB63C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46EBD4A" w14:textId="77777777" w:rsidR="00D862A2" w:rsidRPr="004817B8" w:rsidRDefault="00D862A2" w:rsidP="00D862A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817B8">
        <w:rPr>
          <w:rFonts w:cs="Calibri"/>
          <w:b/>
        </w:rPr>
        <w:t>[</w:t>
      </w:r>
      <w:r w:rsidRPr="004817B8">
        <w:rPr>
          <w:rFonts w:cs="Calibri"/>
          <w:b/>
          <w:i/>
        </w:rPr>
        <w:t>FULL NAME</w:t>
      </w:r>
      <w:r w:rsidRPr="004817B8">
        <w:rPr>
          <w:rFonts w:cs="Calibri"/>
          <w:b/>
        </w:rPr>
        <w:t>]</w:t>
      </w:r>
    </w:p>
    <w:p w14:paraId="776070BC" w14:textId="77777777" w:rsidR="00D862A2" w:rsidRPr="004817B8" w:rsidDel="00897A6B" w:rsidRDefault="00D862A2" w:rsidP="00D862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817B8">
        <w:rPr>
          <w:rFonts w:cs="Calibri"/>
          <w:b/>
        </w:rPr>
        <w:t>Applicant</w:t>
      </w:r>
    </w:p>
    <w:p w14:paraId="49D1C69F" w14:textId="77777777" w:rsidR="00D862A2" w:rsidRDefault="00D862A2" w:rsidP="00D862A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D862A2" w:rsidRPr="00953ED5" w14:paraId="7697452B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203" w14:textId="77777777" w:rsidR="00D862A2" w:rsidRPr="00953ED5" w:rsidRDefault="00D862A2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D862A2" w:rsidRPr="00953ED5" w14:paraId="23927E11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244578C9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18377BBB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</w:tr>
      <w:tr w:rsidR="00D862A2" w:rsidRPr="00953ED5" w14:paraId="1D4CD841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45FB1071" w14:textId="77777777" w:rsidR="00D862A2" w:rsidRPr="00953ED5" w:rsidRDefault="00D862A2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4BB296B7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D862A2" w:rsidRPr="00953ED5" w14:paraId="76EE7722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10ED10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C63422D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</w:tr>
      <w:tr w:rsidR="00D862A2" w:rsidRPr="00953ED5" w14:paraId="22015D36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5D5BCC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997721B" w14:textId="77777777" w:rsidR="00D862A2" w:rsidRPr="00953ED5" w:rsidRDefault="00D862A2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862A2" w:rsidRPr="00953ED5" w14:paraId="3D948B7D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961AD92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34C826C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9342E8B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1EA6502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4831E7C0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</w:tr>
      <w:tr w:rsidR="00D862A2" w:rsidRPr="00953ED5" w14:paraId="795B42D8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6B812FB" w14:textId="77777777" w:rsidR="00D862A2" w:rsidRPr="00953ED5" w:rsidRDefault="00D862A2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EBCCF1E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C62AAFC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0464D67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641449AC" w14:textId="77777777" w:rsidR="00D862A2" w:rsidRPr="00953ED5" w:rsidRDefault="00D862A2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167F7C73" w14:textId="77777777" w:rsidR="00D862A2" w:rsidRPr="00255120" w:rsidRDefault="00D862A2" w:rsidP="004817B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4817B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4817B8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20004BA8" w:rsidR="00EB35CF" w:rsidRPr="007A4148" w:rsidRDefault="00EB35CF" w:rsidP="004817B8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7A4148">
              <w:rPr>
                <w:rFonts w:cs="Arial"/>
              </w:rPr>
              <w:t>An Application has been made on [</w:t>
            </w:r>
            <w:r w:rsidRPr="007A4148">
              <w:rPr>
                <w:rFonts w:cs="Arial"/>
                <w:i/>
              </w:rPr>
              <w:t>date</w:t>
            </w:r>
            <w:r w:rsidRPr="007A4148">
              <w:rPr>
                <w:rFonts w:cs="Arial"/>
              </w:rPr>
              <w:t>] by</w:t>
            </w:r>
            <w:r w:rsidR="00900ABD" w:rsidRPr="007A4148">
              <w:rPr>
                <w:rFonts w:cs="Arial"/>
              </w:rPr>
              <w:t xml:space="preserve"> </w:t>
            </w:r>
            <w:r w:rsidR="007A4148" w:rsidRPr="007A4148">
              <w:rPr>
                <w:rFonts w:cs="Arial"/>
                <w:iCs/>
              </w:rPr>
              <w:t>[</w:t>
            </w:r>
            <w:r w:rsidR="007A4148" w:rsidRPr="007A4148">
              <w:rPr>
                <w:rFonts w:cs="Arial"/>
                <w:i/>
                <w:iCs/>
              </w:rPr>
              <w:t>member/staff member</w:t>
            </w:r>
            <w:r w:rsidR="007A4148" w:rsidRPr="007A4148">
              <w:rPr>
                <w:rFonts w:cs="Arial"/>
                <w:iCs/>
              </w:rPr>
              <w:t>]</w:t>
            </w:r>
            <w:r w:rsidR="007A4148">
              <w:rPr>
                <w:rFonts w:cs="Arial"/>
                <w:iCs/>
              </w:rPr>
              <w:t>,</w:t>
            </w:r>
            <w:r w:rsidR="007A4148" w:rsidRPr="007A4148">
              <w:rPr>
                <w:rFonts w:cs="Arial"/>
              </w:rPr>
              <w:t xml:space="preserve"> </w:t>
            </w:r>
            <w:r w:rsidR="007A4148" w:rsidRPr="007A4148">
              <w:rPr>
                <w:rFonts w:cs="Arial"/>
                <w:iCs/>
              </w:rPr>
              <w:t>[</w:t>
            </w:r>
            <w:r w:rsidR="007A4148" w:rsidRPr="007A4148">
              <w:rPr>
                <w:rFonts w:cs="Arial"/>
                <w:i/>
                <w:iCs/>
              </w:rPr>
              <w:t>name and/or office</w:t>
            </w:r>
            <w:r w:rsidR="007A4148" w:rsidRPr="007A4148">
              <w:rPr>
                <w:rFonts w:cs="Arial"/>
                <w:iCs/>
              </w:rPr>
              <w:t xml:space="preserve">] </w:t>
            </w:r>
            <w:r w:rsidR="007A4148" w:rsidRPr="007A4148">
              <w:rPr>
                <w:rFonts w:cs="Arial"/>
              </w:rPr>
              <w:t>under</w:t>
            </w:r>
            <w:r w:rsidR="007A4148" w:rsidRPr="007A4148">
              <w:rPr>
                <w:rFonts w:cs="Arial"/>
                <w:iCs/>
              </w:rPr>
              <w:t xml:space="preserve"> section 35 of the </w:t>
            </w:r>
            <w:r w:rsidR="007A4148" w:rsidRPr="007A4148">
              <w:rPr>
                <w:rFonts w:cs="Arial"/>
                <w:i/>
                <w:iCs/>
              </w:rPr>
              <w:t xml:space="preserve">Australian Securities and Investments Commission Act 2001 </w:t>
            </w:r>
            <w:r w:rsidR="007A4148">
              <w:rPr>
                <w:rFonts w:cs="Arial"/>
                <w:iCs/>
              </w:rPr>
              <w:t xml:space="preserve">(Cth) </w:t>
            </w:r>
            <w:r w:rsidR="007A4148" w:rsidRPr="007A4148">
              <w:rPr>
                <w:rFonts w:cs="Arial"/>
                <w:iCs/>
              </w:rPr>
              <w:t>f</w:t>
            </w:r>
            <w:r w:rsidR="007A4148" w:rsidRPr="007A4148">
              <w:rPr>
                <w:rFonts w:cs="Arial"/>
              </w:rPr>
              <w:t>or the issue of a warrant.</w:t>
            </w:r>
          </w:p>
          <w:p w14:paraId="3BDF9909" w14:textId="77777777" w:rsidR="00B31E39" w:rsidRDefault="00B31E39" w:rsidP="004817B8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4817B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745A87" w:rsidRPr="00745A87" w14:paraId="2C58E251" w14:textId="77777777" w:rsidTr="00745A87">
        <w:tc>
          <w:tcPr>
            <w:tcW w:w="421" w:type="dxa"/>
          </w:tcPr>
          <w:p w14:paraId="20490030" w14:textId="77777777" w:rsidR="005F538A" w:rsidRPr="00745A87" w:rsidRDefault="005F538A" w:rsidP="004817B8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18917BD9" w:rsidR="005F538A" w:rsidRPr="00745A87" w:rsidRDefault="005F538A" w:rsidP="004817B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312451B6" w:rsidR="005F538A" w:rsidRPr="00745A87" w:rsidRDefault="00745A87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45A87">
              <w:rPr>
                <w:rFonts w:cs="Arial"/>
              </w:rPr>
              <w:t xml:space="preserve">there are reasonable grounds to suspect that there are, or may be within the next 3 days, on the premises described below, books described below whose production could be required under Division 3 of the </w:t>
            </w:r>
            <w:r w:rsidRPr="00745A87">
              <w:rPr>
                <w:rFonts w:cs="Arial"/>
                <w:i/>
              </w:rPr>
              <w:t>Australian Securities and Investments Commission Act 2001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(Cth)</w:t>
            </w:r>
            <w:r w:rsidRPr="00745A87">
              <w:rPr>
                <w:rFonts w:cs="Arial"/>
                <w:i/>
              </w:rPr>
              <w:t>.</w:t>
            </w:r>
          </w:p>
        </w:tc>
      </w:tr>
      <w:tr w:rsidR="00745A87" w:rsidRPr="00745A87" w14:paraId="34993D31" w14:textId="77777777" w:rsidTr="00745A87">
        <w:tc>
          <w:tcPr>
            <w:tcW w:w="421" w:type="dxa"/>
          </w:tcPr>
          <w:p w14:paraId="2419D09A" w14:textId="77777777" w:rsidR="005F538A" w:rsidRPr="00745A87" w:rsidRDefault="005F538A" w:rsidP="004817B8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2B98E870" w:rsidR="005F538A" w:rsidRPr="00745A87" w:rsidRDefault="005F538A" w:rsidP="004817B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C850C75" w:rsidR="005F538A" w:rsidRPr="00745A87" w:rsidRDefault="00745A87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45A87">
              <w:rPr>
                <w:rFonts w:cs="Arial"/>
              </w:rPr>
              <w:t>there are [</w:t>
            </w:r>
            <w:r w:rsidRPr="00745A87">
              <w:rPr>
                <w:rFonts w:cs="Arial"/>
                <w:i/>
              </w:rPr>
              <w:t>proper/reasonable/other legislative criterion- specify</w:t>
            </w:r>
            <w:r w:rsidRPr="00745A87">
              <w:rPr>
                <w:rFonts w:cs="Arial"/>
              </w:rPr>
              <w:t xml:space="preserve">] grounds for the issue of the warrant under </w:t>
            </w:r>
            <w:r w:rsidRPr="00745A87">
              <w:rPr>
                <w:rFonts w:cs="Arial"/>
                <w:iCs/>
              </w:rPr>
              <w:t>[</w:t>
            </w:r>
            <w:r w:rsidRPr="00745A87">
              <w:rPr>
                <w:rFonts w:cs="Arial"/>
                <w:i/>
                <w:iCs/>
              </w:rPr>
              <w:t>Act and provision empowering issue of warrant</w:t>
            </w:r>
            <w:r w:rsidRPr="00745A87">
              <w:rPr>
                <w:rFonts w:cs="Arial"/>
                <w:iCs/>
              </w:rPr>
              <w:t>]</w:t>
            </w:r>
            <w:r w:rsidRPr="00745A87">
              <w:rPr>
                <w:rFonts w:cs="Arial"/>
              </w:rPr>
              <w:t>.</w:t>
            </w:r>
          </w:p>
        </w:tc>
      </w:tr>
      <w:tr w:rsidR="00745A87" w:rsidRPr="00745A87" w14:paraId="6923C5FA" w14:textId="77777777" w:rsidTr="00745A87">
        <w:tc>
          <w:tcPr>
            <w:tcW w:w="421" w:type="dxa"/>
          </w:tcPr>
          <w:p w14:paraId="6EF03018" w14:textId="77777777" w:rsidR="00364724" w:rsidRPr="00745A87" w:rsidRDefault="00364724" w:rsidP="004817B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0F72063A" w14:textId="77777777" w:rsidR="00364724" w:rsidRPr="00745A87" w:rsidRDefault="00364724" w:rsidP="004817B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4532141" w14:textId="1EE0DD2B" w:rsidR="00745A87" w:rsidRPr="00745A87" w:rsidRDefault="00745A87" w:rsidP="004817B8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45A87">
              <w:rPr>
                <w:rFonts w:cs="Arial"/>
                <w:b/>
                <w:sz w:val="12"/>
              </w:rPr>
              <w:t>mandatory</w:t>
            </w:r>
            <w:r w:rsidRPr="00745A87">
              <w:rPr>
                <w:rFonts w:cs="Arial"/>
              </w:rPr>
              <w:t xml:space="preserve"> The grounds relied upon to justify the issue of this warrant are</w:t>
            </w:r>
          </w:p>
          <w:p w14:paraId="70642248" w14:textId="6A19CA3F" w:rsidR="00745A87" w:rsidRDefault="00745A87" w:rsidP="004817B8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45A87">
              <w:rPr>
                <w:rFonts w:cs="Arial"/>
                <w:b/>
                <w:sz w:val="12"/>
              </w:rPr>
              <w:t>provision for numbered paragraphs</w:t>
            </w:r>
            <w:r w:rsidRPr="00745A87">
              <w:rPr>
                <w:rFonts w:cs="Arial"/>
              </w:rPr>
              <w:t xml:space="preserve"> </w:t>
            </w:r>
          </w:p>
          <w:p w14:paraId="24659C24" w14:textId="3391833A" w:rsidR="00364724" w:rsidRPr="00745A87" w:rsidRDefault="00745A87" w:rsidP="004817B8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20" w:line="276" w:lineRule="auto"/>
              <w:ind w:left="319" w:right="141"/>
              <w:jc w:val="left"/>
              <w:textAlignment w:val="auto"/>
              <w:rPr>
                <w:rFonts w:cs="Arial"/>
              </w:rPr>
            </w:pPr>
            <w:r w:rsidRPr="00745A87">
              <w:rPr>
                <w:rFonts w:cs="Arial"/>
              </w:rPr>
              <w:t>[</w:t>
            </w:r>
            <w:r w:rsidRPr="00745A87">
              <w:rPr>
                <w:rFonts w:cs="Arial"/>
                <w:i/>
              </w:rPr>
              <w:t>description of grounds</w:t>
            </w:r>
            <w:r w:rsidRPr="00745A87">
              <w:rPr>
                <w:rFonts w:cs="Arial"/>
              </w:rPr>
              <w:t>]</w:t>
            </w:r>
          </w:p>
        </w:tc>
      </w:tr>
    </w:tbl>
    <w:p w14:paraId="1D5374BD" w14:textId="77777777" w:rsidR="00A77563" w:rsidRDefault="00A77563" w:rsidP="004817B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4817B8">
            <w:pPr>
              <w:keepNext/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442252C5" w:rsidR="000F7743" w:rsidRPr="000F7743" w:rsidRDefault="003E762E" w:rsidP="004817B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authorises the person and persons to whom this warrant addresses and any member of the Australian Federal Police </w:t>
            </w:r>
            <w:r w:rsidRPr="00641A00">
              <w:rPr>
                <w:rFonts w:cs="Arial"/>
              </w:rPr>
              <w:t>with such assistants and by such force as is necessary and reasonable</w:t>
            </w:r>
            <w:r>
              <w:rPr>
                <w:rFonts w:cs="Arial"/>
              </w:rPr>
              <w:t xml:space="preserve"> 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3E762E">
        <w:tc>
          <w:tcPr>
            <w:tcW w:w="421" w:type="dxa"/>
          </w:tcPr>
          <w:p w14:paraId="0F74DE07" w14:textId="77777777" w:rsidR="005542E1" w:rsidRPr="005542E1" w:rsidRDefault="005542E1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68ADFE2" w:rsidR="005542E1" w:rsidRPr="003E762E" w:rsidRDefault="003E762E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>enter and search [</w:t>
            </w:r>
            <w:r w:rsidRPr="003E762E">
              <w:rPr>
                <w:rFonts w:cs="Arial"/>
                <w:i/>
              </w:rPr>
              <w:t>description of premises, address</w:t>
            </w:r>
            <w:r w:rsidRPr="003E762E">
              <w:rPr>
                <w:rFonts w:cs="Arial"/>
              </w:rPr>
              <w:t>] for [</w:t>
            </w:r>
            <w:r w:rsidRPr="003E762E">
              <w:rPr>
                <w:rFonts w:cs="Arial"/>
                <w:i/>
              </w:rPr>
              <w:t>description of books</w:t>
            </w:r>
            <w:r w:rsidRPr="003E762E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6960A7B5" w14:textId="77777777" w:rsidTr="003E762E">
        <w:tc>
          <w:tcPr>
            <w:tcW w:w="421" w:type="dxa"/>
          </w:tcPr>
          <w:p w14:paraId="5D5050FE" w14:textId="77777777" w:rsidR="005542E1" w:rsidRPr="005542E1" w:rsidRDefault="005542E1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38BBB9AB" w:rsidR="005542E1" w:rsidRPr="003E762E" w:rsidRDefault="003E762E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3E762E">
              <w:rPr>
                <w:rFonts w:cs="Arial"/>
              </w:rPr>
              <w:t>enter and inspect [</w:t>
            </w:r>
            <w:r w:rsidRPr="003E762E">
              <w:rPr>
                <w:rFonts w:cs="Arial"/>
                <w:i/>
              </w:rPr>
              <w:t>description of place or thing</w:t>
            </w:r>
            <w:r w:rsidRPr="003E762E">
              <w:rPr>
                <w:rFonts w:cs="Arial"/>
              </w:rPr>
              <w:t>] [f</w:t>
            </w:r>
            <w:r w:rsidRPr="003E762E">
              <w:rPr>
                <w:rFonts w:cs="Arial"/>
                <w:i/>
              </w:rPr>
              <w:t>or the purpose of [description of purpose]</w:t>
            </w:r>
            <w:r w:rsidRPr="003E762E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444FC2" w:rsidRPr="005542E1" w14:paraId="5305D4CD" w14:textId="77777777" w:rsidTr="003E762E">
        <w:tc>
          <w:tcPr>
            <w:tcW w:w="421" w:type="dxa"/>
          </w:tcPr>
          <w:p w14:paraId="1E7243D3" w14:textId="77777777" w:rsidR="00444FC2" w:rsidRPr="005542E1" w:rsidRDefault="00444FC2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0A0C72D" w14:textId="14CEA36D" w:rsidR="00444FC2" w:rsidRPr="003E762E" w:rsidRDefault="003E762E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>break open</w:t>
            </w:r>
            <w:r w:rsidRPr="003E762E">
              <w:rPr>
                <w:rFonts w:cs="Arial"/>
                <w:i/>
              </w:rPr>
              <w:t xml:space="preserve"> </w:t>
            </w:r>
            <w:r w:rsidRPr="003E762E">
              <w:rPr>
                <w:rFonts w:cs="Arial"/>
              </w:rPr>
              <w:t>and search anything, whether a fixture or not, in or on [</w:t>
            </w:r>
            <w:r w:rsidRPr="003E762E">
              <w:rPr>
                <w:rFonts w:cs="Arial"/>
                <w:i/>
              </w:rPr>
              <w:t>description of premises, address</w:t>
            </w:r>
            <w:r w:rsidRPr="003E762E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3E762E" w:rsidRPr="005542E1" w14:paraId="751E7027" w14:textId="77777777" w:rsidTr="003E762E">
        <w:tc>
          <w:tcPr>
            <w:tcW w:w="421" w:type="dxa"/>
          </w:tcPr>
          <w:p w14:paraId="46258D32" w14:textId="77777777" w:rsidR="003E762E" w:rsidRPr="005542E1" w:rsidRDefault="003E762E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9A68A90" w14:textId="7F15A77D" w:rsidR="003E762E" w:rsidRPr="003E762E" w:rsidRDefault="003E762E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>take possession of, or secure against interference books that appear to be any or all of the books described above found on or in [</w:t>
            </w:r>
            <w:r w:rsidRPr="003E762E">
              <w:rPr>
                <w:rFonts w:cs="Arial"/>
                <w:i/>
              </w:rPr>
              <w:t>description of premises, address</w:t>
            </w:r>
            <w:r w:rsidRPr="003E762E">
              <w:rPr>
                <w:rFonts w:cs="Arial"/>
              </w:rPr>
              <w:t>]</w:t>
            </w:r>
            <w:r w:rsidR="00E15AB8">
              <w:rPr>
                <w:rFonts w:cs="Arial"/>
              </w:rPr>
              <w:t>.</w:t>
            </w:r>
          </w:p>
        </w:tc>
      </w:tr>
      <w:tr w:rsidR="003E762E" w:rsidRPr="005542E1" w14:paraId="4CCAD0ED" w14:textId="77777777" w:rsidTr="003E762E">
        <w:tc>
          <w:tcPr>
            <w:tcW w:w="421" w:type="dxa"/>
          </w:tcPr>
          <w:p w14:paraId="57744184" w14:textId="77777777" w:rsidR="003E762E" w:rsidRPr="005542E1" w:rsidRDefault="003E762E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2024982" w14:textId="77C0972D" w:rsidR="003E762E" w:rsidRPr="003E762E" w:rsidRDefault="003E762E" w:rsidP="004817B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E762E">
              <w:rPr>
                <w:rFonts w:cs="Arial"/>
              </w:rPr>
              <w:t>exercise [</w:t>
            </w:r>
            <w:r w:rsidRPr="003E762E">
              <w:rPr>
                <w:rFonts w:cs="Arial"/>
                <w:i/>
              </w:rPr>
              <w:t>powers</w:t>
            </w:r>
            <w:r w:rsidRPr="003E762E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5D57ADCB" w14:textId="77777777" w:rsidTr="003E762E">
        <w:tc>
          <w:tcPr>
            <w:tcW w:w="421" w:type="dxa"/>
          </w:tcPr>
          <w:p w14:paraId="18E49C9F" w14:textId="77777777" w:rsidR="005542E1" w:rsidRPr="005542E1" w:rsidRDefault="005542E1" w:rsidP="004817B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3E762E" w:rsidRDefault="00181DF0" w:rsidP="004817B8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3E762E">
              <w:rPr>
                <w:rFonts w:asciiTheme="minorHAnsi" w:hAnsiTheme="minorHAnsi" w:cs="Calibri"/>
              </w:rPr>
              <w:t>[</w:t>
            </w:r>
            <w:r w:rsidR="005542E1" w:rsidRPr="003E762E">
              <w:rPr>
                <w:rFonts w:asciiTheme="minorHAnsi" w:hAnsiTheme="minorHAnsi" w:cs="Calibri"/>
                <w:i/>
              </w:rPr>
              <w:t>other – specify</w:t>
            </w:r>
            <w:r w:rsidR="005542E1" w:rsidRPr="003E762E">
              <w:rPr>
                <w:rFonts w:asciiTheme="minorHAnsi" w:hAnsiTheme="minorHAnsi" w:cs="Calibri"/>
              </w:rPr>
              <w:t>]</w:t>
            </w:r>
            <w:r w:rsidR="00AD6A6D" w:rsidRPr="003E762E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0F7743" w:rsidRDefault="005542E1" w:rsidP="004817B8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4817B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4817B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4817B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4817B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CD7459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4817B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3CE0573B" w:rsidR="005542E1" w:rsidRPr="0008623A" w:rsidRDefault="005542E1" w:rsidP="004817B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</w:t>
            </w:r>
            <w:r w:rsidR="00444FC2" w:rsidRPr="003E762E">
              <w:rPr>
                <w:rFonts w:cs="Arial"/>
              </w:rPr>
              <w:t>7 days</w:t>
            </w:r>
            <w:r w:rsidR="001A28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4817B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111F1871" w:rsidR="001260F5" w:rsidRPr="00E67123" w:rsidRDefault="00E36A06" w:rsidP="004817B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4817B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3823B06" w:rsidR="001260F5" w:rsidRPr="00445BC2" w:rsidRDefault="001260F5" w:rsidP="004817B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277E7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4817B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6654EDA0" w:rsidR="007B1894" w:rsidRPr="0008623A" w:rsidRDefault="007B1894" w:rsidP="004817B8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8290F9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944CD">
      <w:rPr>
        <w:lang w:val="en-US"/>
      </w:rPr>
      <w:t>10</w:t>
    </w:r>
    <w:r w:rsidR="00AA58C1">
      <w:rPr>
        <w:lang w:val="en-US"/>
      </w:rPr>
      <w:t>2AK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A476AA5" w:rsidR="00E92F2A" w:rsidRDefault="00E447A9" w:rsidP="009352D8">
    <w:pPr>
      <w:pStyle w:val="Header"/>
      <w:rPr>
        <w:lang w:val="en-US"/>
      </w:rPr>
    </w:pPr>
    <w:r>
      <w:rPr>
        <w:lang w:val="en-US"/>
      </w:rPr>
      <w:t>Form</w:t>
    </w:r>
    <w:r w:rsidR="00AA58C1">
      <w:rPr>
        <w:lang w:val="en-US"/>
      </w:rPr>
      <w:t xml:space="preserve"> </w:t>
    </w:r>
    <w:r w:rsidR="00B944CD">
      <w:rPr>
        <w:lang w:val="en-US"/>
      </w:rPr>
      <w:t>10</w:t>
    </w:r>
    <w:r w:rsidR="00AA58C1">
      <w:rPr>
        <w:lang w:val="en-US"/>
      </w:rPr>
      <w:t>2AK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3553F4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7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4690">
    <w:abstractNumId w:val="24"/>
  </w:num>
  <w:num w:numId="2" w16cid:durableId="1724284793">
    <w:abstractNumId w:val="25"/>
  </w:num>
  <w:num w:numId="3" w16cid:durableId="419910408">
    <w:abstractNumId w:val="15"/>
  </w:num>
  <w:num w:numId="4" w16cid:durableId="2136480159">
    <w:abstractNumId w:val="5"/>
  </w:num>
  <w:num w:numId="5" w16cid:durableId="697202410">
    <w:abstractNumId w:val="29"/>
  </w:num>
  <w:num w:numId="6" w16cid:durableId="1606575311">
    <w:abstractNumId w:val="11"/>
  </w:num>
  <w:num w:numId="7" w16cid:durableId="1128283253">
    <w:abstractNumId w:val="9"/>
  </w:num>
  <w:num w:numId="8" w16cid:durableId="763845817">
    <w:abstractNumId w:val="7"/>
  </w:num>
  <w:num w:numId="9" w16cid:durableId="1359118048">
    <w:abstractNumId w:val="20"/>
  </w:num>
  <w:num w:numId="10" w16cid:durableId="1419908869">
    <w:abstractNumId w:val="26"/>
  </w:num>
  <w:num w:numId="11" w16cid:durableId="1349599869">
    <w:abstractNumId w:val="22"/>
  </w:num>
  <w:num w:numId="12" w16cid:durableId="499665382">
    <w:abstractNumId w:val="1"/>
  </w:num>
  <w:num w:numId="13" w16cid:durableId="1431311432">
    <w:abstractNumId w:val="6"/>
  </w:num>
  <w:num w:numId="14" w16cid:durableId="1728916506">
    <w:abstractNumId w:val="10"/>
  </w:num>
  <w:num w:numId="15" w16cid:durableId="1841195314">
    <w:abstractNumId w:val="23"/>
  </w:num>
  <w:num w:numId="16" w16cid:durableId="303702720">
    <w:abstractNumId w:val="3"/>
  </w:num>
  <w:num w:numId="17" w16cid:durableId="44303185">
    <w:abstractNumId w:val="28"/>
  </w:num>
  <w:num w:numId="18" w16cid:durableId="1134835730">
    <w:abstractNumId w:val="8"/>
  </w:num>
  <w:num w:numId="19" w16cid:durableId="1746881053">
    <w:abstractNumId w:val="30"/>
  </w:num>
  <w:num w:numId="20" w16cid:durableId="244075968">
    <w:abstractNumId w:val="19"/>
  </w:num>
  <w:num w:numId="21" w16cid:durableId="994381133">
    <w:abstractNumId w:val="21"/>
  </w:num>
  <w:num w:numId="22" w16cid:durableId="834613100">
    <w:abstractNumId w:val="16"/>
  </w:num>
  <w:num w:numId="23" w16cid:durableId="99646456">
    <w:abstractNumId w:val="18"/>
  </w:num>
  <w:num w:numId="24" w16cid:durableId="1121924242">
    <w:abstractNumId w:val="17"/>
  </w:num>
  <w:num w:numId="25" w16cid:durableId="1459032898">
    <w:abstractNumId w:val="13"/>
  </w:num>
  <w:num w:numId="26" w16cid:durableId="1584221362">
    <w:abstractNumId w:val="14"/>
  </w:num>
  <w:num w:numId="27" w16cid:durableId="971791694">
    <w:abstractNumId w:val="27"/>
  </w:num>
  <w:num w:numId="28" w16cid:durableId="384765492">
    <w:abstractNumId w:val="0"/>
  </w:num>
  <w:num w:numId="29" w16cid:durableId="714045039">
    <w:abstractNumId w:val="4"/>
  </w:num>
  <w:num w:numId="30" w16cid:durableId="73209898">
    <w:abstractNumId w:val="2"/>
  </w:num>
  <w:num w:numId="31" w16cid:durableId="18027970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3B67"/>
    <w:rsid w:val="00153D16"/>
    <w:rsid w:val="0015479F"/>
    <w:rsid w:val="001547FC"/>
    <w:rsid w:val="001555F0"/>
    <w:rsid w:val="00155AE5"/>
    <w:rsid w:val="0015655F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7AF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37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277E7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2ED"/>
    <w:rsid w:val="0047651A"/>
    <w:rsid w:val="00477664"/>
    <w:rsid w:val="00477FBC"/>
    <w:rsid w:val="004809EA"/>
    <w:rsid w:val="004817B8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5F52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17508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3A24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67BB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175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3B08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58C1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44CD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0DCE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D7459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62A2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15AB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6A06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2B1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7123"/>
    <w:rsid w:val="00E7293F"/>
    <w:rsid w:val="00E72F4E"/>
    <w:rsid w:val="00E7611F"/>
    <w:rsid w:val="00E8006E"/>
    <w:rsid w:val="00E8037B"/>
    <w:rsid w:val="00E81BE3"/>
    <w:rsid w:val="00E83533"/>
    <w:rsid w:val="00E855CF"/>
    <w:rsid w:val="00E91A98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63C5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0D52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490D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3AC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6BDD29-A72D-47EA-B2FA-8A4EF56D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102AK Search Warrant - Australian Securities and Investments Commission Act (Cth)</dc:title>
  <dc:subject/>
  <dc:creator/>
  <cp:keywords>Forms; Special</cp:keywords>
  <dc:description/>
  <cp:lastModifiedBy/>
  <cp:revision>1</cp:revision>
  <dcterms:created xsi:type="dcterms:W3CDTF">2024-08-05T04:33:00Z</dcterms:created>
  <dcterms:modified xsi:type="dcterms:W3CDTF">2024-08-05T04:33:00Z</dcterms:modified>
</cp:coreProperties>
</file>